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175"/>
        <w:gridCol w:w="3398"/>
      </w:tblGrid>
      <w:tr w:rsidR="00F542EC" w:rsidTr="00FD0CAF">
        <w:trPr>
          <w:trHeight w:val="5103"/>
        </w:trPr>
        <w:tc>
          <w:tcPr>
            <w:tcW w:w="3397" w:type="dxa"/>
          </w:tcPr>
          <w:p w:rsidR="00F542EC" w:rsidRDefault="00F542EC" w:rsidP="00F542EC">
            <w:pPr>
              <w:jc w:val="center"/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</w:pPr>
            <w:r w:rsidRPr="00F542EC">
              <w:rPr>
                <w:rFonts w:ascii="Baskerville Old Face" w:hAnsi="Baskerville Old Face"/>
                <w:noProof/>
                <w:color w:val="C45911" w:themeColor="accent2" w:themeShade="BF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560705</wp:posOffset>
                  </wp:positionV>
                  <wp:extent cx="1933101" cy="1800200"/>
                  <wp:effectExtent l="0" t="0" r="0" b="0"/>
                  <wp:wrapNone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01" cy="18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5" w:type="dxa"/>
          </w:tcPr>
          <w:p w:rsidR="00F542EC" w:rsidRDefault="00F542EC" w:rsidP="00F542EC">
            <w:pPr>
              <w:jc w:val="center"/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</w:pPr>
            <w:r w:rsidRPr="00F542EC"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  <w:t>L’alliance</w:t>
            </w:r>
          </w:p>
          <w:p w:rsidR="00F542EC" w:rsidRDefault="00F542EC" w:rsidP="00F542EC">
            <w:pPr>
              <w:jc w:val="center"/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</w:pPr>
            <w:r w:rsidRPr="00F542EC"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  <w:t>du chêne et du roseau?</w:t>
            </w:r>
          </w:p>
          <w:p w:rsidR="00F542EC" w:rsidRDefault="00F542EC" w:rsidP="00F542EC">
            <w:pPr>
              <w:jc w:val="center"/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</w:pPr>
          </w:p>
        </w:tc>
        <w:tc>
          <w:tcPr>
            <w:tcW w:w="3398" w:type="dxa"/>
          </w:tcPr>
          <w:p w:rsidR="00F542EC" w:rsidRDefault="00FD0CAF" w:rsidP="00F542EC">
            <w:pPr>
              <w:jc w:val="center"/>
              <w:rPr>
                <w:rFonts w:ascii="Baskerville Old Face" w:hAnsi="Baskerville Old Face"/>
                <w:color w:val="C45911" w:themeColor="accent2" w:themeShade="BF"/>
                <w:sz w:val="144"/>
                <w:szCs w:val="144"/>
              </w:rPr>
            </w:pPr>
            <w:r w:rsidRPr="00F542EC">
              <w:rPr>
                <w:rFonts w:ascii="Baskerville Old Face" w:hAnsi="Baskerville Old Face"/>
                <w:noProof/>
                <w:color w:val="C45911" w:themeColor="accent2" w:themeShade="BF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F225B1B" wp14:editId="740E08A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408305</wp:posOffset>
                  </wp:positionV>
                  <wp:extent cx="2038350" cy="2247900"/>
                  <wp:effectExtent l="0" t="0" r="0" b="0"/>
                  <wp:wrapNone/>
                  <wp:docPr id="20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4665" w:rsidRDefault="00244665" w:rsidP="00F542EC">
      <w:pPr>
        <w:rPr>
          <w:sz w:val="56"/>
          <w:szCs w:val="56"/>
        </w:rPr>
      </w:pPr>
    </w:p>
    <w:p w:rsidR="00F542EC" w:rsidRPr="00244665" w:rsidRDefault="00C71126" w:rsidP="00F542EC">
      <w:pPr>
        <w:rPr>
          <w:sz w:val="72"/>
          <w:szCs w:val="72"/>
        </w:rPr>
      </w:pPr>
      <w:r>
        <w:rPr>
          <w:sz w:val="72"/>
          <w:szCs w:val="72"/>
        </w:rPr>
        <w:t xml:space="preserve">Les structures de </w:t>
      </w:r>
      <w:proofErr w:type="spellStart"/>
      <w:r>
        <w:rPr>
          <w:sz w:val="72"/>
          <w:szCs w:val="72"/>
        </w:rPr>
        <w:t>tenségrité</w:t>
      </w:r>
      <w:proofErr w:type="spellEnd"/>
      <w:r w:rsidR="00F542EC" w:rsidRPr="00244665">
        <w:rPr>
          <w:sz w:val="72"/>
          <w:szCs w:val="72"/>
        </w:rPr>
        <w:t xml:space="preserve"> mettent en jeux la </w:t>
      </w:r>
      <w:r w:rsidR="00F542EC" w:rsidRPr="00244665">
        <w:rPr>
          <w:sz w:val="72"/>
          <w:szCs w:val="72"/>
          <w:u w:val="single"/>
        </w:rPr>
        <w:t>dualité</w:t>
      </w:r>
      <w:r w:rsidR="00F542EC" w:rsidRPr="00244665">
        <w:rPr>
          <w:sz w:val="72"/>
          <w:szCs w:val="72"/>
        </w:rPr>
        <w:t xml:space="preserve"> de deux matériaux</w:t>
      </w:r>
      <w:r w:rsidR="00FD0CAF" w:rsidRPr="00244665">
        <w:rPr>
          <w:sz w:val="72"/>
          <w:szCs w:val="72"/>
        </w:rPr>
        <w:t>,</w:t>
      </w:r>
      <w:r w:rsidR="00F542EC" w:rsidRPr="00244665">
        <w:rPr>
          <w:sz w:val="72"/>
          <w:szCs w:val="72"/>
        </w:rPr>
        <w:t xml:space="preserve"> avec des tensions opposées : câbles (Roseau) et barres (Chêne).</w:t>
      </w:r>
      <w:r w:rsidR="00FD0CAF" w:rsidRPr="00244665">
        <w:rPr>
          <w:sz w:val="72"/>
          <w:szCs w:val="72"/>
        </w:rPr>
        <w:t xml:space="preserve"> Les barres sont uniquement rassemblées par les câbles et ne se touchent pas.</w:t>
      </w:r>
    </w:p>
    <w:p w:rsidR="00244665" w:rsidRPr="00244665" w:rsidRDefault="00244665" w:rsidP="00F542EC">
      <w:pPr>
        <w:rPr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0A058C8" wp14:editId="027AD49D">
            <wp:simplePos x="0" y="0"/>
            <wp:positionH relativeFrom="column">
              <wp:posOffset>11292205</wp:posOffset>
            </wp:positionH>
            <wp:positionV relativeFrom="paragraph">
              <wp:posOffset>17780</wp:posOffset>
            </wp:positionV>
            <wp:extent cx="1828800" cy="2438400"/>
            <wp:effectExtent l="0" t="0" r="0" b="0"/>
            <wp:wrapNone/>
            <wp:docPr id="2" name="Image 2" descr="http://upload.wikimedia.org/wikipedia/commons/2/26/Tensegrity_simp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2/26/Tensegrity_simple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CAF" w:rsidRPr="00244665" w:rsidRDefault="00FD0CAF" w:rsidP="00F542EC">
      <w:pPr>
        <w:rPr>
          <w:sz w:val="72"/>
          <w:szCs w:val="72"/>
        </w:rPr>
      </w:pPr>
      <w:r w:rsidRPr="00244665">
        <w:rPr>
          <w:sz w:val="72"/>
          <w:szCs w:val="72"/>
        </w:rPr>
        <w:t>La structure est stable et rigide, car elle est dans</w:t>
      </w:r>
      <w:r w:rsidR="001F2103" w:rsidRPr="00244665">
        <w:rPr>
          <w:sz w:val="72"/>
          <w:szCs w:val="72"/>
        </w:rPr>
        <w:t xml:space="preserve"> un </w:t>
      </w:r>
      <w:r w:rsidR="001F2103" w:rsidRPr="00E30963">
        <w:rPr>
          <w:sz w:val="72"/>
          <w:szCs w:val="72"/>
          <w:u w:val="single"/>
        </w:rPr>
        <w:t xml:space="preserve">état d’autocontrainte </w:t>
      </w:r>
      <w:r w:rsidR="001F2103" w:rsidRPr="00244665">
        <w:rPr>
          <w:sz w:val="72"/>
          <w:szCs w:val="72"/>
        </w:rPr>
        <w:t xml:space="preserve">(ou </w:t>
      </w:r>
      <w:r w:rsidR="001F2103" w:rsidRPr="00E30963"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état d’équilibre</w:t>
      </w:r>
      <w:r w:rsidR="001F2103" w:rsidRPr="00244665">
        <w:rPr>
          <w:sz w:val="72"/>
          <w:szCs w:val="72"/>
        </w:rPr>
        <w:t>)</w:t>
      </w:r>
      <w:r w:rsidR="00244665" w:rsidRPr="00244665">
        <w:t xml:space="preserve"> </w:t>
      </w:r>
    </w:p>
    <w:p w:rsidR="001F2103" w:rsidRDefault="001F2103" w:rsidP="001F2103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  <w:bookmarkStart w:id="0" w:name="_GoBack"/>
      <w:bookmarkEnd w:id="0"/>
    </w:p>
    <w:p w:rsidR="001F2103" w:rsidRDefault="001F2103" w:rsidP="001F2103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1F2103" w:rsidRPr="00E30963" w:rsidRDefault="001F2103" w:rsidP="00244665">
      <w:pPr>
        <w:spacing w:after="0" w:line="240" w:lineRule="auto"/>
        <w:jc w:val="center"/>
        <w:rPr>
          <w:rFonts w:ascii="Baskerville Old Face" w:hAnsi="Baskerville Old Face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30963">
        <w:rPr>
          <w:rFonts w:ascii="Baskerville Old Face" w:hAnsi="Baskerville Old Face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Etat d’équilibre</w:t>
      </w:r>
    </w:p>
    <w:p w:rsidR="00B3494B" w:rsidRPr="001F2103" w:rsidRDefault="00B3494B" w:rsidP="00244665">
      <w:pPr>
        <w:spacing w:after="0" w:line="240" w:lineRule="auto"/>
        <w:rPr>
          <w:rFonts w:ascii="Baskerville Old Face" w:eastAsia="Times New Roman" w:hAnsi="Baskerville Old Face" w:cs="Times New Roman"/>
          <w:sz w:val="144"/>
          <w:szCs w:val="144"/>
          <w:lang w:eastAsia="fr-FR"/>
        </w:rPr>
      </w:pPr>
    </w:p>
    <w:p w:rsidR="001F2103" w:rsidRDefault="001F2103" w:rsidP="00B3494B">
      <w:pPr>
        <w:tabs>
          <w:tab w:val="left" w:pos="13620"/>
        </w:tabs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  <w:r>
        <w:rPr>
          <w:rFonts w:eastAsia="Times New Roman" w:cs="Times New Roman"/>
          <w:sz w:val="56"/>
          <w:szCs w:val="56"/>
          <w:lang w:eastAsia="fr-FR"/>
        </w:rPr>
        <w:t>L’équilibre d’un</w:t>
      </w:r>
      <w:r w:rsidRPr="001F2103">
        <w:rPr>
          <w:rFonts w:eastAsia="Times New Roman" w:cs="Times New Roman"/>
          <w:sz w:val="56"/>
          <w:szCs w:val="56"/>
          <w:lang w:eastAsia="fr-FR"/>
        </w:rPr>
        <w:t>e</w:t>
      </w:r>
      <w:r>
        <w:rPr>
          <w:rFonts w:eastAsia="Times New Roman" w:cs="Times New Roman"/>
          <w:sz w:val="56"/>
          <w:szCs w:val="56"/>
          <w:lang w:eastAsia="fr-FR"/>
        </w:rPr>
        <w:t xml:space="preserve"> structure</w:t>
      </w:r>
      <w:r w:rsidRPr="001F2103">
        <w:rPr>
          <w:rFonts w:eastAsia="Times New Roman" w:cs="Times New Roman"/>
          <w:sz w:val="56"/>
          <w:szCs w:val="56"/>
          <w:lang w:eastAsia="fr-FR"/>
        </w:rPr>
        <w:t xml:space="preserve"> est obtenu quand tous ses </w:t>
      </w:r>
      <w:r w:rsidR="0087401E">
        <w:rPr>
          <w:rFonts w:eastAsia="Times New Roman" w:cs="Times New Roman"/>
          <w:sz w:val="56"/>
          <w:szCs w:val="56"/>
          <w:lang w:eastAsia="fr-FR"/>
        </w:rPr>
        <w:t>nœuds sont en équilibre</w:t>
      </w:r>
      <w:r w:rsidRPr="001F2103">
        <w:rPr>
          <w:rFonts w:eastAsia="Times New Roman" w:cs="Times New Roman"/>
          <w:sz w:val="56"/>
          <w:szCs w:val="56"/>
          <w:lang w:eastAsia="fr-FR"/>
        </w:rPr>
        <w:t xml:space="preserve">. </w:t>
      </w:r>
    </w:p>
    <w:p w:rsidR="00B3494B" w:rsidRPr="001F2103" w:rsidRDefault="00B3494B" w:rsidP="00B3494B">
      <w:pPr>
        <w:tabs>
          <w:tab w:val="left" w:pos="13620"/>
        </w:tabs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1F2103" w:rsidRPr="001F2103" w:rsidRDefault="001F2103" w:rsidP="001F21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1F2103">
        <w:rPr>
          <w:rFonts w:eastAsia="Times New Roman" w:cs="Times New Roman"/>
          <w:sz w:val="56"/>
          <w:szCs w:val="56"/>
          <w:lang w:eastAsia="fr-FR"/>
        </w:rPr>
        <w:t xml:space="preserve">L’équilibre statique d’un </w:t>
      </w:r>
      <w:r w:rsidR="0087401E" w:rsidRPr="001F2103">
        <w:rPr>
          <w:rFonts w:eastAsia="Times New Roman" w:cs="Times New Roman"/>
          <w:sz w:val="56"/>
          <w:szCs w:val="56"/>
          <w:lang w:eastAsia="fr-FR"/>
        </w:rPr>
        <w:t>nœud</w:t>
      </w:r>
      <w:r w:rsidRPr="001F2103">
        <w:rPr>
          <w:rFonts w:eastAsia="Times New Roman" w:cs="Times New Roman"/>
          <w:sz w:val="56"/>
          <w:szCs w:val="56"/>
          <w:lang w:eastAsia="fr-FR"/>
        </w:rPr>
        <w:t xml:space="preserve">  s’écrit comme suit :</w:t>
      </w:r>
      <w:r w:rsidRPr="001F2103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 </w:t>
      </w:r>
    </w:p>
    <w:p w:rsidR="001F2103" w:rsidRDefault="001F2103" w:rsidP="001F2103">
      <w:pPr>
        <w:rPr>
          <w:rFonts w:ascii="Baskerville Old Face" w:hAnsi="Baskerville Old Face"/>
          <w:color w:val="C45911" w:themeColor="accent2" w:themeShade="BF"/>
          <w:sz w:val="144"/>
          <w:szCs w:val="144"/>
        </w:rPr>
      </w:pPr>
      <w:r w:rsidRPr="001F2103">
        <w:rPr>
          <w:noProof/>
          <w:color w:val="C45911" w:themeColor="accent2" w:themeShade="BF"/>
          <w:sz w:val="56"/>
          <w:szCs w:val="56"/>
          <w:lang w:eastAsia="fr-FR"/>
        </w:rPr>
        <w:drawing>
          <wp:anchor distT="0" distB="0" distL="114300" distR="114300" simplePos="0" relativeHeight="251660288" behindDoc="1" locked="0" layoutInCell="1" allowOverlap="1" wp14:anchorId="2117E0A1" wp14:editId="2C115469">
            <wp:simplePos x="0" y="0"/>
            <wp:positionH relativeFrom="column">
              <wp:posOffset>3919855</wp:posOffset>
            </wp:positionH>
            <wp:positionV relativeFrom="paragraph">
              <wp:posOffset>383540</wp:posOffset>
            </wp:positionV>
            <wp:extent cx="3888105" cy="1752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color w:val="C45911" w:themeColor="accent2" w:themeShade="BF"/>
          <w:sz w:val="144"/>
          <w:szCs w:val="144"/>
        </w:rPr>
        <w:tab/>
      </w:r>
    </w:p>
    <w:p w:rsidR="001F2103" w:rsidRDefault="001F2103" w:rsidP="001F2103">
      <w:pPr>
        <w:rPr>
          <w:rFonts w:ascii="Baskerville Old Face" w:hAnsi="Baskerville Old Face"/>
          <w:color w:val="C45911" w:themeColor="accent2" w:themeShade="BF"/>
          <w:sz w:val="144"/>
          <w:szCs w:val="144"/>
        </w:rPr>
      </w:pPr>
    </w:p>
    <w:p w:rsidR="00B3494B" w:rsidRDefault="00B3494B" w:rsidP="001F2103">
      <w:pPr>
        <w:rPr>
          <w:rFonts w:eastAsia="Times New Roman" w:cs="Times New Roman"/>
          <w:sz w:val="56"/>
          <w:szCs w:val="56"/>
          <w:lang w:eastAsia="fr-FR"/>
        </w:rPr>
      </w:pPr>
    </w:p>
    <w:p w:rsidR="001F2103" w:rsidRPr="001F2103" w:rsidRDefault="001F2103" w:rsidP="001F2103">
      <w:pPr>
        <w:rPr>
          <w:rFonts w:eastAsia="Times New Roman" w:cs="Times New Roman"/>
          <w:sz w:val="56"/>
          <w:szCs w:val="56"/>
          <w:lang w:eastAsia="fr-FR"/>
        </w:rPr>
      </w:pPr>
      <w:proofErr w:type="spellStart"/>
      <w:r w:rsidRPr="001F2103">
        <w:rPr>
          <w:rFonts w:eastAsia="Times New Roman" w:cs="Times New Roman"/>
          <w:sz w:val="56"/>
          <w:szCs w:val="56"/>
          <w:lang w:eastAsia="fr-FR"/>
        </w:rPr>
        <w:t>T</w:t>
      </w:r>
      <w:r w:rsidRPr="001F2103">
        <w:rPr>
          <w:rFonts w:eastAsia="Times New Roman" w:cs="Times New Roman"/>
          <w:sz w:val="56"/>
          <w:szCs w:val="56"/>
          <w:vertAlign w:val="subscript"/>
          <w:lang w:eastAsia="fr-FR"/>
        </w:rPr>
        <w:t>ij</w:t>
      </w:r>
      <w:proofErr w:type="spellEnd"/>
      <w:r w:rsidRPr="001F2103">
        <w:rPr>
          <w:rFonts w:eastAsia="Times New Roman" w:cs="Times New Roman"/>
          <w:sz w:val="56"/>
          <w:szCs w:val="56"/>
          <w:lang w:eastAsia="fr-FR"/>
        </w:rPr>
        <w:t xml:space="preserve"> représente l’effort interne de l’élément reliant le nœud j au nœud i, et F</w:t>
      </w:r>
      <w:r w:rsidRPr="001F2103">
        <w:rPr>
          <w:rFonts w:eastAsia="Times New Roman" w:cs="Times New Roman"/>
          <w:sz w:val="56"/>
          <w:szCs w:val="56"/>
          <w:vertAlign w:val="subscript"/>
          <w:lang w:eastAsia="fr-FR"/>
        </w:rPr>
        <w:t>i</w:t>
      </w:r>
      <w:r w:rsidRPr="001F2103">
        <w:rPr>
          <w:rFonts w:eastAsia="Times New Roman" w:cs="Times New Roman"/>
          <w:sz w:val="56"/>
          <w:szCs w:val="56"/>
          <w:lang w:eastAsia="fr-FR"/>
        </w:rPr>
        <w:t xml:space="preserve"> l’effort extérieur appliqué au nœud </w:t>
      </w:r>
      <w:proofErr w:type="gramStart"/>
      <w:r w:rsidRPr="001F2103">
        <w:rPr>
          <w:rFonts w:eastAsia="Times New Roman" w:cs="Times New Roman"/>
          <w:sz w:val="56"/>
          <w:szCs w:val="56"/>
          <w:lang w:eastAsia="fr-FR"/>
        </w:rPr>
        <w:t>i</w:t>
      </w:r>
      <w:r>
        <w:rPr>
          <w:rFonts w:eastAsia="Times New Roman" w:cs="Times New Roman"/>
          <w:sz w:val="56"/>
          <w:szCs w:val="56"/>
          <w:lang w:eastAsia="fr-FR"/>
        </w:rPr>
        <w:t xml:space="preserve"> .</w:t>
      </w:r>
      <w:proofErr w:type="gramEnd"/>
    </w:p>
    <w:p w:rsidR="001F2103" w:rsidRPr="001F2103" w:rsidRDefault="001F2103" w:rsidP="001F21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1F2103">
        <w:rPr>
          <w:rFonts w:ascii="Times New Roman" w:eastAsia="Times New Roman" w:hAnsi="Times New Roman" w:cs="Times New Roman"/>
          <w:sz w:val="30"/>
          <w:szCs w:val="30"/>
          <w:lang w:eastAsia="fr-FR"/>
        </w:rPr>
        <w:t>.</w:t>
      </w:r>
    </w:p>
    <w:p w:rsidR="00F542EC" w:rsidRPr="00F542EC" w:rsidRDefault="00F542EC" w:rsidP="001F2103">
      <w:pPr>
        <w:tabs>
          <w:tab w:val="left" w:pos="15390"/>
        </w:tabs>
        <w:rPr>
          <w:rFonts w:ascii="Baskerville Old Face" w:hAnsi="Baskerville Old Face"/>
          <w:color w:val="C45911" w:themeColor="accent2" w:themeShade="BF"/>
          <w:sz w:val="144"/>
          <w:szCs w:val="144"/>
        </w:rPr>
      </w:pPr>
    </w:p>
    <w:sectPr w:rsidR="00F542EC" w:rsidRPr="00F542EC" w:rsidSect="00F542E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EC"/>
    <w:rsid w:val="00014CD9"/>
    <w:rsid w:val="001F2103"/>
    <w:rsid w:val="00244665"/>
    <w:rsid w:val="003B4817"/>
    <w:rsid w:val="00613C13"/>
    <w:rsid w:val="0087401E"/>
    <w:rsid w:val="00B3494B"/>
    <w:rsid w:val="00C71126"/>
    <w:rsid w:val="00E30963"/>
    <w:rsid w:val="00F542EC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1AB9-2D86-48AA-B556-6F525EA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3</cp:revision>
  <dcterms:created xsi:type="dcterms:W3CDTF">2014-04-04T14:27:00Z</dcterms:created>
  <dcterms:modified xsi:type="dcterms:W3CDTF">2014-04-04T15:11:00Z</dcterms:modified>
</cp:coreProperties>
</file>